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Детские колонии: история и современность</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Маргарита Бабак</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2024</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Давайте рассмотрим, что такое детские колонии и как они изменились с течением времени. Детские колонии, или учреждения для несовершеннолетних правонарушителей, представляют собой специальные заведения, где дети и подростки, совершившие преступления, проходят воспитание и реабилитацию. Эти учреждения были созданы с целью исправления поведения несовершеннолетних и их подготовки к жизни в обществе. Однако, несмотря на благие намерения, история детских колоний полна противоречий и трагических случаев.</w:t>
      </w:r>
    </w:p>
    <w:p>
      <w:pPr>
        <w:pStyle w:val="paragraphStyleText"/>
      </w:pPr>
      <w:r>
        <w:rPr>
          <w:rStyle w:val="fontStyleText"/>
        </w:rPr>
        <w:t xml:space="preserve">Я считаю, что детские колонии, несмотря на их первоначальную цель, часто становятся местом, где нарушаются права детей и где они сталкиваются с жестокостью и насилием. Обратимся к рассказу «Дети подземелья» А. П. Чехова, который ярко иллюстрирует проблемы, с которыми сталкиваются дети в таких учреждениях. В этом произведении автор описывает жизнь детей в колонии, где они подвергаются не только физическому, но и психологическому насилию со стороны взрослых. Чехов показывает, как система, призванная защищать и исправлять, на самом деле может разрушать детские судьбы.</w:t>
      </w:r>
    </w:p>
    <w:p>
      <w:pPr>
        <w:pStyle w:val="paragraphStyleText"/>
      </w:pPr>
      <w:r>
        <w:rPr>
          <w:rStyle w:val="fontStyleText"/>
        </w:rPr>
        <w:t xml:space="preserve">В одном из эпизодов рассказа главный герой, мальчик по имени Ваня, сталкивается с жестоким обращением со стороны надзирателей. Он не только лишен свободы, но и подвергается унижениям, что приводит к его внутреннему разрушению. Этот пример доказывает, что детские колонии, вместо того чтобы быть местом исправления, становятся тюрьмой, где дети теряют надежду на лучшее будущее. Чехов подчеркивает, что такие условия не только не способствуют исправлению, но и усугубляют проблемы, с которыми сталкиваются подростки.</w:t>
      </w:r>
    </w:p>
    <w:p>
      <w:pPr>
        <w:pStyle w:val="paragraphStyleText"/>
      </w:pPr>
      <w:r>
        <w:rPr>
          <w:rStyle w:val="fontStyleText"/>
        </w:rPr>
        <w:t xml:space="preserve">Заключение, которое можно сделать из анализа данного произведения, заключается в том, что детские колонии нуждаются в реформировании. Необходимо создать такие условия, которые бы способствовали реальной реабилитации и социализации детей, а не их дальнейшему угнетению. Я считаю, что только при условии гуманного подхода к несовершеннолетним правонарушителям можно добиться положительных изменений в их жизни и предотвратить повторные преступления.</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