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 помочь человеку обрести надежду</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карина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жизни каждого человека бывают моменты, когда он теряет надежду. Это может произойти по самым разным причинам: утрата близкого человека, неудачи в карьере, проблемы в личной жизни. В такие моменты важно понять, что надежда — это не просто чувство, а необходимая составляющая нашего существования. Надежда помогает нам двигаться вперед, преодолевать трудности и верить в лучшее. Я считаю, что помочь человеку обрести надежду можно через поддержку, понимание и вдохновение.</w:t>
      </w:r>
    </w:p>
    <w:p>
      <w:pPr>
        <w:pStyle w:val="paragraphStyleText"/>
      </w:pPr>
      <w:r>
        <w:rPr>
          <w:rStyle w:val="fontStyleText"/>
        </w:rPr>
        <w:t xml:space="preserve">Обратимся к рассказу «Старик и море» Эрнеста Хемингуэя. Главный герой, старик Сантьяго, на протяжении долгого времени не может поймать рыбу. Он сталкивается с множеством трудностей, и его надежда начинает угасать. Однако, несмотря на все испытания, он продолжает бороться и верить в свои силы. В один из моментов, когда он уже почти сдался, он вспоминает о своих мечтах и о том, что он все еще способен на великие дела.</w:t>
      </w:r>
    </w:p>
    <w:p>
      <w:pPr>
        <w:pStyle w:val="paragraphStyleText"/>
      </w:pPr>
      <w:r>
        <w:rPr>
          <w:rStyle w:val="fontStyleText"/>
        </w:rPr>
        <w:t xml:space="preserve">Этот эпизод показывает, как важно не терять надежду, даже когда кажется, что все потеряно. Сантьяго, несмотря на свои неудачи, продолжает идти к своей цели. Его упорство и вера в себя служат примером для всех нас. Мы видим, что надежда может быть возрождена даже в самых трудных обстоятельствах. Это подтверждает мой тезис о том, что поддержка и вдохновение могут помочь человеку вновь обрести надежду.</w:t>
      </w:r>
    </w:p>
    <w:p>
      <w:pPr>
        <w:pStyle w:val="paragraphStyleText"/>
      </w:pPr>
      <w:r>
        <w:rPr>
          <w:rStyle w:val="fontStyleText"/>
        </w:rPr>
        <w:t xml:space="preserve">Заключая, можно сказать, что надежда — это свет в темноте, который ведет нас вперед. Помогая другим, мы можем стать теми, кто зажигает этот свет. Важно помнить, что каждый из нас может оказать поддержку, просто выслушав, проявив понимание или поделившись своим опытом. Я считаю, что именно такие простые действия могут вернуть людям веру в себя и в лучшее будущее.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