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И.С. Тургенев и его стихотворение 'Два богача'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Сашка Степанова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в стихотворении И.С. Тургенева «Два богача» автор поднимает важные вопросы о человеческих ценностях и истинном богатстве. В этом произведении Тургенев затрагивает тему материального благосостояния и его влияния на душу человека. Стихотворение описывает двух богачей, которые, несмотря на свои богатства, не могут найти истинного счастья и удовлетворения в жизни.</w:t>
      </w:r>
    </w:p>
    <w:p>
      <w:pPr>
        <w:pStyle w:val="paragraphStyleText"/>
      </w:pPr>
      <w:r>
        <w:rPr>
          <w:rStyle w:val="fontStyleText"/>
        </w:rPr>
        <w:t xml:space="preserve">Я считаю, что Тургенев в своем стихотворении показывает, что истинное богатство заключается не в материальных ценностях, а в духовных и моральных качествах человека. В этом контексте важно отметить, что оба героя, обладая огромными состояниями, остаются несчастными и одинокими. Они не могут насладиться плодами своего труда, так как их жизнь наполнена лишь погоней за деньгами и статусом.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«Два богача». В нем автор описывает, как один из богачей, несмотря на свои богатства, чувствует пустоту и одиночество. Он окружен роскошью, но не имеет настоящих друзей и близких. Второй богач, хотя и богат, также не находит радости в жизни, так как его богатство не приносит ему счастья. Эти персонажи олицетворяют собой людей, которые, погруженные в мир материальных ценностей, забывают о духовных аспектах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стремление к накоплению богатства приводит к утрате человеческих качеств. Они становятся эгоистичными и замкнутыми, что в конечном итоге делает их жизнь бессмысленной. Этот пример доказывает мой тезис о том, что материальное богатство не является гарантией счастья. Тургенев показывает, что истинное богатство заключается в любви, дружбе и духовном развитии.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И.С. Тургенева «Два богача» является ярким примером того, как автор поднимает важные вопросы о человеческих ценностях. Я считаю, что произведение заставляет нас задуматься о том, что истинное счастье и богатство заключаются не в материальных благах, а в духовных и моральных ценностях, которые мы можем привнести в свою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