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мечта?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khuzinaguze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Мечта — это не просто фантазия или иллюзия, это важная часть человеческой жизни, которая помогает нам двигаться вперед и стремиться к лучшему. Мечта может быть разной: от простых желаний до грандиозных целей, которые мы ставим перед собой. Она вдохновляет, придаёт сил и уверенности в своих силах. Я считаю, что мечта — это двигатель прогресса, который побуждает человека к действию и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 С. Пушкина «Мечты». В этом стихотворении поэт описывает свои мечты, которые являются отражением его внутреннего мира и стремлений. Пушкин говорит о том, как мечты могут быть как светлыми, так и мрачными, но в любом случае они играют важную роль в жизни человека. Например, в одном из эпизодов он описывает, как мечты о свободе и счастье наполняют его душу, придавая ей легкость и радость.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мечта может быть источником вдохновения и силы. Пушкин, как и многие другие великие личности, использовал свои мечты как мотивацию для творчества. Его стремление к идеалам и красоте отражается в его произведениях, которые вдохновляют читателей на протяжении веков. Таким образом, мечта становится не только личным стремлением, но и универсальным языком, который объединяет людей.</w:t>
      </w:r>
    </w:p>
    <w:p>
      <w:pPr>
        <w:pStyle w:val="paragraphStyleText"/>
      </w:pPr>
      <w:r>
        <w:rPr>
          <w:rStyle w:val="fontStyleText"/>
        </w:rPr>
        <w:t xml:space="preserve">В заключение, мечта — это неотъемлемая часть человеческой природы. Она помогает нам преодолевать трудности, стремиться к новым высотам и находить смысл в жизни. Я считаю, что мечты, как и у Пушкина, должны вдохновлять нас на действия и служить путеводной звездой в нашем пути.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