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Анализ стихотворения Некрасова "Поэт и гражданин"</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femdost</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роли поэта в обществе всегда был актуален и вызывает множество споров. Какова же истинная миссия поэта? Давайте рассмотрим, что такое поэзия и как она соотносится с гражданской позицией человека. Поэзия — это не просто искусство слова, это способ выражения чувств, мыслей и переживаний, который может оказывать значительное влияние на общество. Поэт, как творец, не может оставаться в стороне от социальных проблем, и именно это подчеркивает Некрасов в своем стихотворении "Поэт и гражданин". Я считаю, что поэт должен быть не только художником, но и активным участником общественной жизни, способным поднимать важные вопросы и вдохновлять людей на перемены.</w:t>
      </w:r>
    </w:p>
    <w:p>
      <w:pPr>
        <w:pStyle w:val="paragraphStyleText"/>
      </w:pPr>
      <w:r>
        <w:rPr>
          <w:rStyle w:val="fontStyleText"/>
        </w:rPr>
        <w:t xml:space="preserve">Обратимся к стихотворению Некрасова "Поэт и гражданин". В этом произведении автор ставит перед собой и читателем важные вопросы о предназначении поэта. Он противопоставляет два образа: поэта, который живет в мире высоких идеалов и чувств, и гражданина, который должен быть активным участником общественной жизни. Некрасов описывает, как поэт, погруженный в свои мечты и вдохновение, может забыть о страданиях народа, о его нуждах и проблемах. В одном из эпизодов поэт размышляет о том, что его творчество может быть бесполезным, если оно не служит благу общества.</w:t>
      </w:r>
    </w:p>
    <w:p>
      <w:pPr>
        <w:pStyle w:val="paragraphStyleText"/>
      </w:pPr>
      <w:r>
        <w:rPr>
          <w:rStyle w:val="fontStyleText"/>
        </w:rPr>
        <w:t xml:space="preserve">Этот эпизод подчеркивает, что поэт не может быть изолирован от реальности. Его искусство должно быть направлено на то, чтобы пробуждать сознание людей, вдохновлять их на борьбу за справедливость. Таким образом, поэт становится не только создателем, но и гражданином, который несет ответственность за судьбы людей. Это подтверждает мой тезис о том, что поэт должен быть активным участником жизни общества.</w:t>
      </w:r>
    </w:p>
    <w:p>
      <w:pPr>
        <w:pStyle w:val="paragraphStyleText"/>
      </w:pPr>
      <w:r>
        <w:rPr>
          <w:rStyle w:val="fontStyleText"/>
        </w:rPr>
        <w:t xml:space="preserve">В заключение, стихотворение Некрасова "Поэт и гражданин" заставляет нас задуматься о том, какую роль играет поэзия в жизни общества. Поэт не должен оставаться в стороне от социальных проблем, он должен использовать свое искусство для того, чтобы вдохновлять людей на перемены и бороться за справедливость. Таким образом, поэт и гражданин — это два неразрывно связанных понятия, которые подчеркивают важность активной гражданской позиции творца.</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