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Антропогенные формы рельефа: влияние человека на ландшафт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fachalilov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человека на ландшафт и формирование антропогенных форм рельефа становится все более актуальным в современном мире. В условиях стремительного развития технологий и увеличения численности населения, воздействие человека на природу приобретает глобальные масштабы. Давайте рассмотрим, как именно человек изменяет рельеф Земли и какие последствия это может иметь.</w:t>
      </w:r>
    </w:p>
    <w:p>
      <w:pPr>
        <w:pStyle w:val="paragraphStyleText"/>
      </w:pPr>
      <w:r>
        <w:rPr>
          <w:rStyle w:val="fontStyleText"/>
        </w:rPr>
        <w:t xml:space="preserve">Антропогенные формы рельефа — это изменения, вызванные деятельностью человека, которые могут включать в себя выемки, насыпи, карьеры, дамбы и другие конструкции. Эти изменения часто происходят в результате хозяйственной деятельности, такой как сельское хозяйство, строительство, добыча полезных ископаемых и урбанизация. Важно отметить, что антропогенные изменения могут как улучшать, так и ухудшать природные условия, что делает их изучение особенно важным.</w:t>
      </w:r>
    </w:p>
    <w:p>
      <w:pPr>
        <w:pStyle w:val="paragraphStyleText"/>
      </w:pPr>
      <w:r>
        <w:rPr>
          <w:rStyle w:val="fontStyleText"/>
        </w:rPr>
        <w:t xml:space="preserve">Я считаю, что влияние человека на ландшафт в большинстве случаев имеет негативные последствия, которые могут угрожать экосистемам и биологическому разнообразию. Обратимся к примеру, который иллюстрирует это утверждение. В произведении «Смерть природы» автор описывает, как массовая вырубка лесов и загрязнение рек приводят к разрушению экосистем и исчезновению многих видов животных и растений. В этом контексте можно выделить эпизод, где описывается, как река, некогда полная жизни, превращается в мертвую артерию из-за сброса отходов производств.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человеческая деятельность может привести к необратимым изменениям в природе. Поведение людей, игнорирующих последствия своих действий, подчеркивает важность осознания ответственности за сохранение окружающей среды. Таким образом, пример из произведения подтверждает мой тезис о том, что антропогенные изменения рельефа, вызванные бездумной деятельностью человека, могут иметь катастрофические последствия для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антропогенные формы рельефа — это результат человеческой деятельности, который, к сожалению, часто приводит к негативным последствиям для экосистем. Мы должны осознать, что наше воздействие на природу требует ответственного подхода и учета возможных последствий. Только так мы сможем сохранить природное разнообразие и обеспечить устойчивое развитие нашей планеты.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