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Мир небылиц: магия абсурда в фольклоре</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Екатерина Крутовская</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2025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Heading1"/>
      </w:pPr>
      <w:bookmarkStart w:id="0" w:name="_Toc0"/>
      <w:r>
        <w:t>Содержание</w:t>
      </w:r>
      <w:bookmarkEnd w:id="0"/>
    </w:p>
    <w:p>
      <w:pPr>
        <w:rPr>
          <w:rStyle w:val="fontStyleText"/>
        </w:rPr>
        <w:tabs>
          <w:tab w:val="right" w:leader="dot" w:pos="9062"/>
        </w:tabs>
      </w:pPr>
      <w:r>
        <w:fldChar w:fldCharType="begin"/>
      </w:r>
      <w:r>
        <w:instrText xml:space="preserve">TOC \o 1-9 \h \z \u</w:instrText>
      </w:r>
      <w:r>
        <w:fldChar w:fldCharType="separate"/>
      </w:r>
      <w:hyperlink w:anchor="_Toc0" w:history="1">
        <w:r>
          <w:t>Содержание</w:t>
        </w:r>
        <w:r>
          <w:tab/>
        </w:r>
        <w:r>
          <w:fldChar w:fldCharType="begin"/>
        </w:r>
        <w:r>
          <w:instrText xml:space="preserve">PAGEREF _Toc0 \h</w:instrText>
        </w:r>
        <w:r>
          <w:fldChar w:fldCharType="end"/>
        </w:r>
      </w:hyperlink>
    </w:p>
    <w:p>
      <w:pPr>
        <w:rPr>
          <w:rStyle w:val="fontStyleText"/>
        </w:rPr>
        <w:tabs>
          <w:tab w:val="right" w:leader="dot" w:pos="9062"/>
        </w:tabs>
      </w:pPr>
      <w:hyperlink w:anchor="_Toc1" w:history="1">
        <w:r>
          <w:t>Сочинение</w:t>
        </w:r>
        <w:r>
          <w:tab/>
        </w:r>
        <w:r>
          <w:fldChar w:fldCharType="begin"/>
        </w:r>
        <w:r>
          <w:instrText xml:space="preserve">PAGEREF _Toc1 \h</w:instrText>
        </w:r>
        <w:r>
          <w:fldChar w:fldCharType="end"/>
        </w:r>
      </w:hyperlink>
    </w:p>
    <w:p>
      <w:r>
        <w:fldChar w:fldCharType="end"/>
      </w:r>
    </w:p>
    <w:p>
      <w:pPr>
        <w:sectPr>
          <w:pgSz w:orient="portrait" w:w="11905.511811023622" w:h="16837.79527559055"/>
          <w:pgMar w:top="1440" w:right="1440" w:bottom="1440" w:left="1440" w:header="720" w:footer="720" w:gutter="0"/>
          <w:cols w:num="1" w:space="720"/>
          <w:pgNumType w:start="1"/>
        </w:sectPr>
      </w:pPr>
    </w:p>
    <w:p>
      <w:pPr>
        <w:pStyle w:val="Heading1"/>
      </w:pPr>
      <w:bookmarkStart w:id="1" w:name="_Toc1"/>
      <w:r>
        <w:t>Сочинение</w:t>
      </w:r>
      <w:bookmarkEnd w:id="1"/>
    </w:p>
    <w:p>
      <w:pPr>
        <w:pStyle w:val="paragraphStyleText"/>
      </w:pPr>
      <w:r>
        <w:rPr>
          <w:rStyle w:val="fontStyleText"/>
        </w:rPr>
        <w:t xml:space="preserve">Вопрос о том, что такое магия абсурда в фольклоре, вызывает интерес у многих исследователей и любителей народного творчества. Фольклор — это не просто набор сказок и легенд, это целый мир, в котором переплетаются реальность и фантазия, где обычные события могут принимать неожиданные и порой абсурдные формы. В этом контексте магия абсурда становится важным элементом, который помогает понять, как народное сознание воспринимает окружающий мир.</w:t>
      </w:r>
    </w:p>
    <w:p>
      <w:pPr>
        <w:pStyle w:val="paragraphStyleText"/>
      </w:pPr>
      <w:r>
        <w:rPr>
          <w:rStyle w:val="fontStyleText"/>
        </w:rPr>
        <w:t xml:space="preserve">Я считаю, что магия абсурда в фольклоре служит не только для развлечения, но и для глубокого осмысления человеческой природы и социальных отношений. Она позволяет нам увидеть, как в самых неожиданных ситуациях могут проявляться человеческие качества, такие как доброта, глупость, хитрость и наивность.</w:t>
      </w:r>
    </w:p>
    <w:p>
      <w:pPr>
        <w:pStyle w:val="paragraphStyleText"/>
      </w:pPr>
      <w:r>
        <w:rPr>
          <w:rStyle w:val="fontStyleText"/>
        </w:rPr>
        <w:t xml:space="preserve">Обратимся к известной русской народной сказке «Глупый Иван». В этой сказке главный герой, несмотря на свою глупость, оказывается в центре множества абсурдных ситуаций. Например, он решает жениться на царевне, но для этого ему нужно выполнить ряд нелепых заданий, которые ставит ему царь. Каждый раз, когда Иван сталкивается с трудностями, он находит совершенно неожиданные и абсурдные решения, которые, тем не менее, приводят его к успеху.</w:t>
      </w:r>
    </w:p>
    <w:p>
      <w:pPr>
        <w:pStyle w:val="paragraphStyleText"/>
      </w:pPr>
      <w:r>
        <w:rPr>
          <w:rStyle w:val="fontStyleText"/>
        </w:rPr>
        <w:t xml:space="preserve">Этот эпизод демонстрирует, как магия абсурда помогает раскрыть характер героя. Иван, будучи глупым, оказывается на удивление находчивым. Его абсурдные решения, такие как использование простых предметов для выполнения сложных задач, показывают, что иногда простота и наивность могут оказаться более эффективными, чем хитрость и ум. Таким образом, сказка не только развлекает, но и заставляет задуматься о том, что истинная мудрость может проявляться в самых неожиданных формах.</w:t>
      </w:r>
    </w:p>
    <w:p>
      <w:pPr>
        <w:pStyle w:val="paragraphStyleText"/>
      </w:pPr>
      <w:r>
        <w:rPr>
          <w:rStyle w:val="fontStyleText"/>
        </w:rPr>
        <w:t xml:space="preserve">В заключение, магия абсурда в фольклоре — это не просто элемент развлечения, а важный инструмент для понимания человеческой природы и социальных отношений. Она позволяет нам увидеть мир с другой стороны, где даже самые нелепые ситуации могут нести в себе глубокий смысл. Я считаю, что именно в этом и заключается сила фольклора — в его способности заставлять нас смеяться и размышлять одновременно.</w:t>
      </w:r>
    </w:p>
    <w:sectPr>
      <w:footerReference w:type="default" r:id="rId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Heading1">
    <w:link w:val="Heading1Char"/>
    <w:name w:val="heading 1"/>
    <w:basedOn w:val="Normal"/>
    <w:pPr/>
    <w:rPr>
      <w:rFonts w:ascii="Times New Roman" w:hAnsi="Times New Roman" w:eastAsia="Times New Roman" w:cs="Times New Roman"/>
      <w:sz w:val="32"/>
      <w:szCs w:val="32"/>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