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Причины душевных страданий в литературе на примере «Дымки и Тучка»</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v4dimpro67</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Давайте рассмотрим, что такое душевные страдания и как они проявляются в литературе. Душевные страдания — это глубокие эмоциональные переживания, которые могут быть вызваны различными факторами, такими как утрата, одиночество, разочарование или внутренние конфликты. Эти переживания часто становятся центральной темой литературных произведений, позволяя авторам исследовать человеческую природу и сложные аспекты жизни. Я считаю, что душевные страдания персонажей в произведении «Дымки и Тучка» А. П. Чехова служат ярким примером того, как внутренние конфликты и эмоциональные переживания могут влиять на судьбы людей.</w:t>
      </w:r>
    </w:p>
    <w:p>
      <w:pPr>
        <w:pStyle w:val="paragraphStyleText"/>
      </w:pPr>
      <w:r>
        <w:rPr>
          <w:rStyle w:val="fontStyleText"/>
        </w:rPr>
        <w:t xml:space="preserve">Обратимся к рассказу «Дымки и Тучка». В этом произведении Чехов описывает жизнь двух главных героев — Дымки и Тучки, которые представляют собой разные стороны человеческой души. Дымка — это образ легкости и беззаботности, в то время как Тучка олицетворяет собой печаль и угнетение. В одном из эпизодов рассказа Дымка, наслаждаясь жизнью, не замечает страданий Тучки, который переживает внутренние терзания и тоску по утраченной любви. Этот контраст между героями подчеркивает, как разные эмоциональные состояния могут сосуществовать в одном мире.</w:t>
      </w:r>
    </w:p>
    <w:p>
      <w:pPr>
        <w:pStyle w:val="paragraphStyleText"/>
      </w:pPr>
      <w:r>
        <w:rPr>
          <w:rStyle w:val="fontStyleText"/>
        </w:rPr>
        <w:t xml:space="preserve">Анализируя поведение героев, можно заметить, что Дымка, несмотря на свою беззаботность, не может полностью избежать влияния Тучки. Его радость становится менее яркой на фоне страданий друга. Это показывает, что душевные страдания одного человека могут затрагивать и окружающих, создавая атмосферу общего уныния. Таким образом, Чехов демонстрирует, что даже в моменты счастья мы не можем полностью игнорировать боль и страдания других.</w:t>
      </w:r>
    </w:p>
    <w:p>
      <w:pPr>
        <w:pStyle w:val="paragraphStyleText"/>
      </w:pPr>
      <w:r>
        <w:rPr>
          <w:rStyle w:val="fontStyleText"/>
        </w:rPr>
        <w:t xml:space="preserve">В заключение, душевные страдания, изображенные в «Дымках и Тучке», подчеркивают сложность человеческих эмоций и взаимосвязь между людьми. Я считаю, что Чехов мастерски передает эту идею, показывая, как внутренние конфликты и переживания могут влиять на наше восприятие мира и на отношения с окружающими. Произведение заставляет задуматься о том, как важно быть чутким к страданиям других и как они могут отражаться на нашей собственной жизни.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