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Правила продажи лекарственных препаратов в аптечных учреждениях</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Татьяна Петрова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обществе здоровье человека является одной из важнейших ценностей. В связи с этим, вопрос о правилах продажи лекарственных препаратов в аптечных учреждениях становится особенно актуальным. Каковы же основные принципы, регулирующие этот процесс?</w:t>
      </w:r>
    </w:p>
    <w:p>
      <w:pPr>
        <w:pStyle w:val="paragraphStyleText"/>
      </w:pPr>
      <w:r>
        <w:rPr>
          <w:rStyle w:val="fontStyleText"/>
        </w:rPr>
        <w:t xml:space="preserve">Правила продажи лекарственных препаратов — это свод норм и требований, которые обеспечивают безопасность и эффективность использования медикаментов. Эти правила включают в себя как законодательные акты, так и внутренние регламенты аптек, направленные на защиту прав потребителей и обеспечение качества лекарств. Я считаю, что соблюдение этих правил является необходимым условием для обеспечения здоровья населения и предотвращения негативных последствий, связанных с неправильным использованием медикаментов.</w:t>
      </w:r>
    </w:p>
    <w:p>
      <w:pPr>
        <w:pStyle w:val="paragraphStyleText"/>
      </w:pPr>
      <w:r>
        <w:rPr>
          <w:rStyle w:val="fontStyleText"/>
        </w:rPr>
        <w:t xml:space="preserve">Обратимся к практике работы аптечных учреждений. Важным аспектом является необходимость наличия лицензии на продажу лекарств. Это гарантирует, что аптека соответствует всем требованиям, установленным законодательством. Например, в аптеке должны работать квалифицированные фармацевты, которые могут дать рекомендации по применению препаратов и предупредить о возможных побочных эффектах.</w:t>
      </w:r>
    </w:p>
    <w:p>
      <w:pPr>
        <w:pStyle w:val="paragraphStyleText"/>
      </w:pPr>
      <w:r>
        <w:rPr>
          <w:rStyle w:val="fontStyleText"/>
        </w:rPr>
        <w:t xml:space="preserve">Рассмотрим конкретный пример. В аптеке «Здоровье» фармацевт, работающий с клиентами, всегда интересуется, какие у них есть заболевания, и предлагает только те препараты, которые действительно необходимы. Это позволяет избежать ситуации, когда пациент покупает лекарство, которое ему не нужно, или, что еще хуже, может навредить его здоровью. Такой подход подтверждает важность соблюдения правил продажи лекарств, так как он направлен на защиту интересов потребителей и их здоровья.</w:t>
      </w:r>
    </w:p>
    <w:p>
      <w:pPr>
        <w:pStyle w:val="paragraphStyleText"/>
      </w:pPr>
      <w:r>
        <w:rPr>
          <w:rStyle w:val="fontStyleText"/>
        </w:rPr>
        <w:t xml:space="preserve">Таким образом, соблюдение правил продажи лекарственных препаратов в аптечных учреждениях является важным аспектом, который обеспечивает безопасность и здоровье населения. Важно, чтобы все участники процесса — от производителей до аптек — осознавали свою ответственность и строго следовали установленным нормам. В заключение, можно сказать, что только при соблюдении всех правил можно гарантировать, что лекарства будут приносить пользу, а не вред.</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