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Глобальные и локальные системы позиционирования: обзор технологий и их применение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Волкова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позиционирования играют ключевую роль в различных сферах жизни. Глобальные и локальные системы позиционирования обеспечивают точное определение местоположения объектов, что становится особенно актуальным в условиях стремительного развития технологий и увеличения потребностей общества. Вопрос, который мы можем задать, звучит так: каковы основные различия и области применения глобальных и локальных систем позиционирования?</w:t>
      </w:r>
    </w:p>
    <w:p>
      <w:pPr>
        <w:pStyle w:val="paragraphStyleText"/>
      </w:pPr>
      <w:r>
        <w:rPr>
          <w:rStyle w:val="fontStyleText"/>
        </w:rPr>
        <w:t xml:space="preserve">Глобальные системы позиционирования, такие как GPS, ГЛОНАСС и Galileo, представляют собой спутниковые системы, которые обеспечивают определение местоположения на Земле с высокой точностью. Эти системы работают на основе сигнала, который передается от спутников к приемникам на поверхности Земли. Локальные системы позиционирования, в свою очередь, используют наземные станции и могут обеспечивать более высокую точность в ограниченных зонах, таких как здания или городские районы, где спутниковый сигнал может быть затруднен.</w:t>
      </w:r>
    </w:p>
    <w:p>
      <w:pPr>
        <w:pStyle w:val="paragraphStyleText"/>
      </w:pPr>
      <w:r>
        <w:rPr>
          <w:rStyle w:val="fontStyleText"/>
        </w:rPr>
        <w:t xml:space="preserve">Я считаю, что выбор между глобальными и локальными системами позиционирования зависит от конкретных задач и условий их применения. Например, в сельском хозяйстве и геодезии, где требуется высокая точность на больших территориях, предпочтение отдается глобальным системам. В то же время, в таких областях, как логистика и управление транспортом в городах, локальные системы могут оказаться более эффективными.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технологий позиционирования в логистике. В современных складах и транспортных компаниях активно применяются локальные системы, которые позволяют отслеживать местоположение грузов в реальном времени. Например, использование RFID-меток и Wi-Fi-сигналов позволяет точно определить, где находится товар, что значительно ускоряет процессы обработки и доставки. Это демонстрирует, как локальные системы позиционирования могут повысить эффективность работы и снизить затраты.</w:t>
      </w:r>
    </w:p>
    <w:p>
      <w:pPr>
        <w:pStyle w:val="paragraphStyleText"/>
      </w:pPr>
      <w:r>
        <w:rPr>
          <w:rStyle w:val="fontStyleText"/>
        </w:rPr>
        <w:t xml:space="preserve">Таким образом, локальные системы позиционирования, обеспечивая высокую точность в ограниченных зонах, дополняют глобальные системы, которые охватывают большие территории. Важно понимать, что каждая из технологий имеет свои преимущества и недостатки, и их выбор должен основываться на конкретных потребностях и условиях. В заключение, можно сказать, что развитие технологий позиционирования открывает новые горизонты для различных отраслей, и их правильное применение может значительно улучшить качество жизни и эффективность работы.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