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4.xml" ContentType="application/vnd.openxmlformats-officedocument.wordprocessingml.footer+xml"/>
  <Override PartName="/word/footer7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Наименование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образовательного учреждения</w:t>
      </w: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jc w:val="center"/>
        <w:spacing w:before="120" w:after="120"/>
      </w:pPr>
      <w:r>
        <w:rPr>
          <w:rFonts w:ascii="Times New Roman" w:hAnsi="Times New Roman" w:eastAsia="Times New Roman" w:cs="Times New Roman"/>
          <w:sz w:val="44"/>
          <w:szCs w:val="44"/>
          <w:smallCaps w:val="0"/>
          <w:caps w:val="1"/>
        </w:rPr>
        <w:t xml:space="preserve"/>
      </w:r>
    </w:p>
    <w:p>
      <w:pPr>
        <w:jc w:val="center"/>
        <w:spacing w:before="120" w:after="120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 тему</w:t>
      </w:r>
    </w:p>
    <w:p>
      <w:pPr>
        <w:jc w:val="center"/>
        <w:spacing w:after="120"/>
      </w:pP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«</w:t>
      </w: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Ирбит: Город с богатым культурным наследием</w:t>
      </w: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»</w:t>
      </w:r>
    </w:p>
    <w:p>
      <w:pPr>
        <w:rPr/>
      </w:pPr>
    </w:p>
    <w:p>
      <w:pPr>
        <w:rPr/>
      </w:pPr>
    </w:p>
    <w:p>
      <w:pPr>
        <w:rPr/>
      </w:pPr>
    </w:p>
    <w:tbl>
      <w:tblGrid>
        <w:gridCol w:w="6379" w:type="dxa"/>
        <w:gridCol w:w="3668" w:type="dxa"/>
      </w:tblGrid>
      <w:tblPr>
        <w:tblStyle w:val="a4"/>
      </w:tblPr>
      <w:tr>
        <w:trPr/>
        <w:tc>
          <w:tcPr>
            <w:tcW w:w="6379" w:type="dxa"/>
            <w:noWrap/>
          </w:tcPr>
          <w:p>
            <w:pPr>
              <w:rPr/>
            </w:pPr>
          </w:p>
        </w:tc>
        <w:tc>
          <w:tcPr>
            <w:tcW w:w="3668" w:type="dxa"/>
            <w:noWrap/>
          </w:tcPr>
          <w:p>
            <w:pPr>
              <w:spacing w:before="40" w:after="40"/>
              <w:pBdr>
                <w:top w:val="none" w:sz="0" w:color="auto"/>
                <w:left w:val="none" w:sz="0" w:color="auto"/>
                <w:right w:val="none" w:sz="0" w:color="auto"/>
                <w:bottom w:val="none" w:sz="0" w:color="auto"/>
              </w:pBd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Выполнил:</w:t>
            </w:r>
          </w:p>
          <w:p>
            <w:pPr>
              <w:spacing w:before="40" w:after="40"/>
              <w:pBdr>
                <w:top w:val="none" w:sz="0" w:color="auto"/>
                <w:left w:val="none" w:sz="0" w:color="auto"/>
                <w:right w:val="none" w:sz="0" w:color="auto"/>
                <w:bottom w:val="none" w:sz="0" w:color="auto"/>
              </w:pBdr>
            </w:pPr>
            <w:r>
              <w:rPr>
                <w:rFonts w:ascii="Times New Roman" w:hAnsi="Times New Roman" w:eastAsia="Times New Roman" w:cs="Times New Roman"/>
                <w:lang w:val="en-US"/>
                <w:sz w:val="28"/>
                <w:szCs w:val="28"/>
              </w:rPr>
              <w:t xml:space="preserve">Анастасия Г</w:t>
            </w:r>
          </w:p>
          <w:p>
            <w:pPr>
              <w:rPr/>
            </w:pPr>
          </w:p>
          <w:p>
            <w:pPr>
              <w:spacing w:before="40" w:after="40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Руководитель:</w:t>
            </w:r>
          </w:p>
          <w:p>
            <w:pPr>
              <w:spacing w:before="40" w:after="40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_____________________</w:t>
            </w:r>
          </w:p>
          <w:p>
            <w:pPr>
              <w:rPr/>
            </w:pPr>
          </w:p>
        </w:tc>
      </w:tr>
    </w:tbl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jc w:val="center"/>
        <w:spacing w:before="40" w:after="40"/>
      </w:pPr>
      <w:r>
        <w:rPr>
          <w:rFonts w:ascii="Times New Roman" w:hAnsi="Times New Roman" w:eastAsia="Times New Roman" w:cs="Times New Roman"/>
          <w:lang w:val="en-US"/>
          <w:sz w:val="28"/>
          <w:szCs w:val="28"/>
        </w:rPr>
        <w:t xml:space="preserve">2025</w:t>
      </w:r>
      <w:r>
        <w:rPr>
          <w:rFonts w:ascii="Times New Roman" w:hAnsi="Times New Roman" w:eastAsia="Times New Roman" w:cs="Times New Roman"/>
          <w:lang w:val="en-US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г.</w:t>
      </w:r>
    </w:p>
    <w:p>
      <w:pPr>
        <w:sectPr>
          <w:pgSz w:orient="portrait" w:w="11900" w:h="16840"/>
          <w:pgMar w:top="567" w:right="850" w:bottom="568" w:left="993" w:header="708" w:footer="708" w:gutter="0"/>
          <w:cols w:num="1" w:space="720"/>
        </w:sectPr>
      </w:pPr>
    </w:p>
    <w:p>
      <w:pPr>
        <w:pStyle w:val="Title"/>
      </w:pPr>
      <w:r>
        <w:t>Содержание</w:t>
      </w:r>
    </w:p>
    <w:p>
      <w:pPr>
        <w:tabs>
          <w:tab w:val="right" w:leader="dot" w:pos="9062"/>
        </w:tabs>
      </w:pPr>
      <w:r>
        <w:fldChar w:fldCharType="begin"/>
      </w:r>
      <w:r>
        <w:instrText xml:space="preserve">TOC \o 1-9 \h \z \u</w:instrText>
      </w:r>
      <w:r>
        <w:fldChar w:fldCharType="separate"/>
      </w:r>
      <w:hyperlink w:anchor="_Toc1" w:history="1">
        <w:r>
          <w:rPr>
            <w:rFonts w:ascii="Times New Roman" w:hAnsi="Times New Roman" w:eastAsia="Times New Roman" w:cs="Times New Roman"/>
            <w:sz w:val="28"/>
            <w:szCs w:val="28"/>
          </w:rPr>
          <w:t>Введение</w:t>
        </w:r>
        <w:r>
          <w:tab/>
        </w:r>
        <w:r>
          <w:fldChar w:fldCharType="begin"/>
        </w:r>
        <w:r>
          <w:instrText xml:space="preserve">PAGEREF 1 \h</w:instrText>
        </w:r>
        <w:r>
          <w:fldChar w:fldCharType="end"/>
        </w:r>
      </w:hyperlink>
    </w:p>
    <w:p>
      <w:r>
        <w:fldChar w:fldCharType="end"/>
      </w:r>
    </w:p>
    <w:p>
      <w:pPr>
        <w:sectPr>
          <w:footerReference w:type="default" r:id="rId7"/>
          <w:pgSz w:orient="portrait" w:w="11905.511811023622" w:h="16837.79527559055"/>
          <w:pgMar w:top="1133.8582677165352" w:right="566.9291338582676" w:bottom="1133.8582677165352" w:left="1700.787401574803" w:header="720" w:footer="720" w:gutter="0"/>
          <w:cols w:num="1" w:space="720"/>
        </w:sectPr>
      </w:pPr>
    </w:p>
    <w:p>
      <w:pPr>
        <w:pStyle w:val="Heading1"/>
      </w:pPr>
      <w:bookmarkStart w:id="0" w:name="_Toc1"/>
      <w:r>
        <w:t>Введение</w:t>
      </w:r>
      <w:bookmarkEnd w:id="0"/>
    </w:p>
    <w:p>
      <w:pPr>
        <w:pStyle w:val="paragraphStyleText"/>
      </w:pPr>
      <w:r>
        <w:rPr>
          <w:rStyle w:val="fontStyleText"/>
        </w:rPr>
        <w:t xml:space="preserve">Вопрос о культурном наследии городов всегда вызывает интерес и желание узнать больше о том, что стоит за историей каждого населенного пункта. Ирбит, небольшой город в Свердловской области, является ярким примером места, где история и культура переплетаются, создавая уникальную атмосферу. Что же делает Ирбит таким особенным в плане культурного наследия?</w:t>
      </w:r>
    </w:p>
    <w:p>
      <w:pPr>
        <w:pStyle w:val="paragraphStyleText"/>
      </w:pPr>
      <w:r>
        <w:rPr>
          <w:rStyle w:val="fontStyleText"/>
        </w:rPr>
        <w:t xml:space="preserve">Культурное наследие — это совокупность материальных и нематериальных ценностей, которые передаются из поколения в поколение и формируют идентичность народа. В случае Ирбита, это наследие включает в себя архитектурные памятники, традиции, обычаи и даже народные промыслы, которые сохранились до наших дней. Я считаю, что Ирбит — это не просто город, а настоящая сокровищница культурных ценностей, которые необходимо беречь и развивать.</w:t>
      </w:r>
    </w:p>
    <w:p>
      <w:pPr>
        <w:pStyle w:val="paragraphStyleText"/>
      </w:pPr>
      <w:r>
        <w:rPr>
          <w:rStyle w:val="fontStyleText"/>
        </w:rPr>
        <w:t xml:space="preserve">Обратимся к истории Ирбита, которая начинается с XVII века, когда он был основан как торговый пост. Город стал важным центром для купечества, что отразилось на его архитектуре и культуре. Одним из ярких примеров является Ирбитский музей, который хранит в себе множество артефактов, рассказывающих о жизни и быте горожан в разные исторические эпохи. В музее можно увидеть как предметы быта, так и произведения искусства, что подчеркивает разнообразие культурного наследия города.</w:t>
      </w:r>
    </w:p>
    <w:p>
      <w:pPr>
        <w:pStyle w:val="paragraphStyleText"/>
      </w:pPr>
      <w:r>
        <w:rPr>
          <w:rStyle w:val="fontStyleText"/>
        </w:rPr>
        <w:t xml:space="preserve">Кроме того, Ирбит славится своими традициями, такими как проведение ярмарок и праздников, которые собирают людей со всей области. Эти мероприятия не только сохраняют народные обычаи, но и способствуют культурному обмену между разными поколениями. Например, на Ирбитской ярмарке можно увидеть, как современные мастера продолжают традиции своих предков, создавая уникальные изделия ручной работы. Это подтверждает мой тезис о том, что культурное наследие Ирбита живо и активно развивается.</w:t>
      </w:r>
    </w:p>
    <w:p>
      <w:pPr>
        <w:pStyle w:val="paragraphStyleText"/>
      </w:pPr>
      <w:r>
        <w:rPr>
          <w:rStyle w:val="fontStyleText"/>
        </w:rPr>
        <w:t xml:space="preserve">В заключение, Ирбит — это город с богатым культурным наследием, которое проявляется в его истории, архитектуре и традициях. Сохранение и развитие этого наследия — важная задача для будущих поколений, ведь именно оно формирует нашу идентичность и помогает нам понять, откуда мы пришли. Я считаю, что Ирбит должен гордиться своим культурным наследием и продолжать делиться им с миром.</w:t>
      </w:r>
    </w:p>
    <w:sectPr>
      <w:footerReference w:type="default" r:id="rId8"/>
      <w:pgSz w:orient="portrait" w:w="11905.511811023622" w:h="16837.79527559055"/>
      <w:pgMar w:top="1133.8582677165352" w:right="566.9291338582676" w:bottom="1133.8582677165352" w:left="1700.787401574803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graphStylePageNum"/>
    </w:pPr>
    <w:r>
      <w:fldChar w:fldCharType="begin"/>
    </w:r>
    <w:r>
      <w:rPr>
        <w:rStyle w:val="fontStyleText"/>
      </w:rPr>
      <w:instrText xml:space="preserve">PAGE</w:instrText>
    </w:r>
    <w:r>
      <w:fldChar w:fldCharType="separate"/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graphStylePageNum"/>
    </w:pPr>
    <w:r>
      <w:fldChar w:fldCharType="begin"/>
    </w:r>
    <w:r>
      <w:rPr>
        <w:rStyle w:val="fontStyleText"/>
      </w:rPr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,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true"/>
  <w:bookFoldPrinting w:val="false"/>
  <w:themeFontLang w:val="ru-RU" w:eastAsia="x-none" w:bidi="x-none"/>
  <w:proofState w:spelling="clean" w:grammar="clean"/>
  <w:zoom w:val="111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4"/>
        <w:szCs w:val="24"/>
        <w:lang w:val="ru-RU"/>
      </w:rPr>
    </w:rPrDefault>
  </w:docDefaults>
  <w:style w:type="paragraph" w:default="1" w:styleId="Normal">
    <w:name w:val="Normal"/>
    <w:pPr>
      <w:spacing w:after="160"/>
    </w:pPr>
    <w:rPr>
      <w:rFonts w:ascii="Times New Roman" w:hAnsi="Times New Roman" w:eastAsia="Times New Roman" w:cs="Times New Roman"/>
      <w:color w:val="000000"/>
      <w:sz w:val="22"/>
      <w:szCs w:val="22"/>
    </w:r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Normal Table">
    <w:name w:val="Normal Table"/>
    <w:uiPriority w:val="99"/>
    <w:tblPr>
      <w:tblW w:w="0" w:type="auto"/>
      <w:tblInd w:w="0" w:type="dxa"/>
      <w:tblLayout w:type="autofit"/>
      <w:tblCellMar>
        <w:top w:w="0" w:type="dxa"/>
        <w:left w:w="108" w:type="dxa"/>
        <w:right w:w="108" w:type="dxa"/>
        <w:bottom w:w="0" w:type="dxa"/>
      </w:tblCellMar>
    </w:tblPr>
  </w:style>
  <w:style w:type="paragraph" w:styleId="Колонтитулы">
    <w:name w:val="Колонтитулы"/>
    <w:basedOn w:val="Normal"/>
    <w:pPr/>
    <w:rPr>
      <w:rFonts w:ascii="Helvetica Neue" w:hAnsi="Helvetica Neue" w:eastAsia="Helvetica Neue" w:cs="Helvetica Neue"/>
      <w:color w:val="000000"/>
    </w:rPr>
  </w:style>
  <w:style w:type="table" w:customStyle="1" w:styleId="Table Grid">
    <w:name w:val="Table Grid"/>
    <w:uiPriority w:val="99"/>
    <w:tblPr>
      <w:tblW w:w="0" w:type="auto"/>
      <w:tblLayout w:type="autofit"/>
      <w:tblBorders>
        <w:top w:val="single" w:sz="4" w:color="auto"/>
        <w:left w:val="single" w:sz="4" w:color="auto"/>
        <w:right w:val="single" w:sz="4" w:color="auto"/>
        <w:bottom w:val="single" w:sz="4" w:color="auto"/>
        <w:insideH w:val="single" w:sz="4" w:color="auto"/>
        <w:insideV w:val="single" w:sz="4" w:color="auto"/>
      </w:tblBorders>
    </w:tblPr>
  </w:style>
  <w:style w:type="paragraph" w:customStyle="1" w:styleId="header">
    <w:name w:val="header"/>
    <w:basedOn w:val="Normal"/>
    <w:pPr>
      <w:spacing w:after="0"/>
    </w:pPr>
  </w:style>
  <w:style w:type="character">
    <w:name w:val="Верхний колонтитул Знак"/>
    <w:rPr>
      <w:rFonts w:ascii="Calibri" w:hAnsi="Calibri" w:eastAsia="Calibri" w:cs="Calibri"/>
      <w:color w:val="000000"/>
      <w:sz w:val="22"/>
      <w:szCs w:val="22"/>
    </w:rPr>
  </w:style>
  <w:style w:type="paragraph" w:customStyle="1" w:styleId="footer">
    <w:name w:val="footer"/>
    <w:basedOn w:val="Normal"/>
    <w:pPr>
      <w:spacing w:after="0"/>
    </w:pPr>
  </w:style>
  <w:style w:type="character">
    <w:name w:val="Нижний колонтитул Знак"/>
    <w:rPr>
      <w:rFonts w:ascii="Calibri" w:hAnsi="Calibri" w:eastAsia="Calibri" w:cs="Calibri"/>
      <w:color w:val="000000"/>
      <w:sz w:val="22"/>
      <w:szCs w:val="22"/>
    </w:rPr>
  </w:style>
  <w:style w:type="character">
    <w:name w:val="fontStyleText"/>
    <w:rPr>
      <w:rFonts w:ascii="Times New Roman" w:hAnsi="Times New Roman" w:eastAsia="Times New Roman" w:cs="Times New Roman"/>
      <w:sz w:val="28"/>
      <w:szCs w:val="28"/>
      <w:b w:val="0"/>
      <w:bCs w:val="0"/>
      <w:i w:val="0"/>
      <w:iCs w:val="0"/>
    </w:rPr>
  </w:style>
  <w:style w:type="character">
    <w:name w:val="fontStyleCode"/>
    <w:rPr>
      <w:rFonts w:ascii="Courier New" w:hAnsi="Courier New" w:eastAsia="Courier New" w:cs="Courier New"/>
      <w:sz w:val="24"/>
      <w:szCs w:val="24"/>
      <w:b w:val="0"/>
      <w:bCs w:val="0"/>
      <w:i w:val="0"/>
      <w:iCs w:val="0"/>
    </w:rPr>
  </w:style>
  <w:style w:type="paragraph" w:customStyle="1" w:styleId="paragraphStyleCode">
    <w:name w:val="paragraphStyleCode"/>
    <w:basedOn w:val="Normal"/>
    <w:pPr>
      <w:jc w:val="left"/>
      <w:spacing w:before="120" w:after="120" w:line="288" w:lineRule="auto"/>
      <w:shd w:val="clear" w:fill="f5f5f5"/>
      <w:pBdr>
        <w:top w:val="single" w:sz="1" w:color="cccccc"/>
        <w:left w:val="single" w:sz="1" w:color="cccccc"/>
        <w:right w:val="single" w:sz="1" w:color="cccccc"/>
        <w:bottom w:val="single" w:sz="1" w:color="cccccc"/>
      </w:pBdr>
    </w:pPr>
  </w:style>
  <w:style w:type="paragraph" w:customStyle="1" w:styleId="paragraphStylePageNum">
    <w:name w:val="paragraphStylePageNum"/>
    <w:basedOn w:val="Normal"/>
    <w:pPr>
      <w:jc w:val="right"/>
      <w:spacing w:after="100"/>
    </w:pPr>
  </w:style>
  <w:style w:type="paragraph" w:styleId="Title">
    <w:link w:val="titleChar"/>
    <w:name w:val="title"/>
    <w:basedOn w:val="Normal"/>
    <w:pPr>
      <w:jc w:val="center"/>
    </w:pPr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styleId="Heading1">
    <w:link w:val="Heading1Char"/>
    <w:name w:val="heading 1"/>
    <w:basedOn w:val="Normal"/>
    <w:pPr/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styleId="Heading2">
    <w:link w:val="Heading2Char"/>
    <w:name w:val="heading 2"/>
    <w:basedOn w:val="Normal"/>
    <w:pPr/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customStyle="1" w:styleId="paragraphStyleText">
    <w:name w:val="paragraphStyleText"/>
    <w:basedOn w:val="Normal"/>
    <w:pPr>
      <w:jc w:val="both"/>
      <w:ind w:left="0" w:right="0" w:firstLine="0" w:hanging="-720"/>
      <w:spacing w:after="0" w:line="36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4.xml"/><Relationship Id="rId8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2024-09-05T17:52:00+00:00</dcterms:created>
  <dcterms:modified xsi:type="dcterms:W3CDTF">2025-12-14T17:53:00+00:00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