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Компьютерные технологии в производственных процессах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zavorotniysergej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Компьютерные технологии в производственных процессах — тема, которая вызывает множество вопросов и размышлений. Что же представляют собой компьютерные технологии и как они влияют на современное производство? Компьютерные технологии — это совокупность методов и средств обработки информации с помощью вычислительной техники, которые позволяют автоматизировать и оптимизировать различные процессы. Я считаю, что внедрение компьютерных технологий в производство значительно повышает эффективность и качество продукции, однако требует внимательного подхода к управлению и контролю.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"1984" Дж. Оруэлла, где описывается тоталитарное общество, в котором технологии используются для контроля и манипуляции людьми. В романе показано, как компьютерные системы и устройства служат не только для улучшения процессов, но и для подавления свободы и индивидуальности. Главный герой, Уинстон Смит, сталкивается с жестким контролем, осуществляемым с помощью технологий, что приводит к его внутреннему конфликту и борьбе за свободу.</w:t>
      </w:r>
    </w:p>
    <w:p>
      <w:pPr>
        <w:pStyle w:val="paragraphStyleText"/>
      </w:pPr>
      <w:r>
        <w:rPr>
          <w:rStyle w:val="fontStyleText"/>
        </w:rPr>
        <w:t xml:space="preserve">Этот пример демонстрирует, что компьютерные технологии могут иметь двоякое влияние: с одной стороны, они способствуют развитию и прогрессу, с другой — могут стать инструментом подавления и контроля. В производственных процессах важно использовать технологии для повышения качества и эффективности, но при этом не забывать о человеческом факторе и этических нормах.</w:t>
      </w:r>
    </w:p>
    <w:p>
      <w:pPr>
        <w:pStyle w:val="paragraphStyleText"/>
      </w:pPr>
      <w:r>
        <w:rPr>
          <w:rStyle w:val="fontStyleText"/>
        </w:rPr>
        <w:t xml:space="preserve">Таким образом, компьютерные технологии играют ключевую роль в современном производстве, открывая новые возможности и перспективы. Однако их применение должно быть осознанным и ответственным, чтобы избежать негативных последствий и сохранить баланс между развитием и гуманностью.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