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Брестский государственный университет имени Александра Сергеевича Пушкина: Образование и перспективы</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Ефросиния Гапоненко</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 </w:t>
      </w:r>
      <w:r>
        <w:rPr>
          <w:rFonts w:ascii="Times New Roman" w:hAnsi="Times New Roman" w:eastAsia="Times New Roman" w:cs="Times New Roman"/>
          <w:sz w:val="28"/>
          <w:szCs w:val="28"/>
        </w:rPr>
        <w:t xml:space="preserve">г.</w:t>
      </w:r>
    </w:p>
    <w:p>
      <w:pPr>
        <w:rPr/>
      </w:pPr>
    </w:p>
    <w:p>
      <w:pPr>
        <w:rPr/>
      </w:pPr>
    </w:p>
    <w:p>
      <w:pPr>
        <w:rPr/>
      </w:pP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В современном мире образование играет ключевую роль в формировании личности и развитии общества. Вопрос о том, как именно образование влияет на перспективы человека и общества в целом, становится все более актуальным. Давайте рассмотрим, что такое образование и как оно может изменить жизнь человека.</w:t>
      </w:r>
    </w:p>
    <w:p>
      <w:pPr>
        <w:pStyle w:val="paragraphStyleText"/>
      </w:pPr>
      <w:r>
        <w:rPr>
          <w:rStyle w:val="fontStyleText"/>
        </w:rPr>
        <w:t xml:space="preserve">Образование — это процесс получения знаний, умений и навыков, который происходит в учебных заведениях и в ходе жизненного опыта. Оно включает в себя не только академические знания, но и развитие критического мышления, творческих способностей и социальной ответственности. Важным аспектом образования является его доступность и качество, которые напрямую влияют на будущее студентов и их возможности на рынке труда. Я считаю, что качественное образование, предоставляемое такими учреждениями, как Брестский государственный университет имени Александра Сергеевича Пушкина, открывает перед студентами широкие перспективы для личностного и профессионального роста.</w:t>
      </w:r>
    </w:p>
    <w:p>
      <w:pPr>
        <w:pStyle w:val="paragraphStyleText"/>
      </w:pPr>
      <w:r>
        <w:rPr>
          <w:rStyle w:val="fontStyleText"/>
        </w:rPr>
        <w:t xml:space="preserve">Обратимся к примеру Брестского государственного университета имени Александра Сергеевича Пушкина. Этот университет предлагает разнообразные программы обучения, которые охватывают различные области знаний, от гуманитарных до технических. Например, факультет иностранных языков готовит специалистов, способных работать в международной среде, что особенно актуально в условиях глобализации. Студенты, получившие образование в этом университете, имеют возможность не только найти работу в своей стране, но и за ее пределами, что значительно расширяет их карьерные перспективы.</w:t>
      </w:r>
    </w:p>
    <w:p>
      <w:pPr>
        <w:pStyle w:val="paragraphStyleText"/>
      </w:pPr>
      <w:r>
        <w:rPr>
          <w:rStyle w:val="fontStyleText"/>
        </w:rPr>
        <w:t xml:space="preserve">Однако важно отметить, что образование — это не только получение диплома. Это также формирование навыков, необходимых для успешной жизни в обществе. Например, студенты Брестского университета активно участвуют в научных исследованиях, культурных мероприятиях и социальных проектах, что помогает им развивать лидерские качества и умение работать в команде. Эти навыки становятся важными конкурентными преимуществами на рынке труда.</w:t>
      </w:r>
    </w:p>
    <w:p>
      <w:pPr>
        <w:pStyle w:val="paragraphStyleText"/>
      </w:pPr>
      <w:r>
        <w:rPr>
          <w:rStyle w:val="fontStyleText"/>
        </w:rPr>
        <w:t xml:space="preserve">В заключение, можно сказать, что образование, предоставляемое Брестским государственным университетом имени Александра Сергеевича Пушкина, открывает перед студентами широкие перспективы. Я считаю, что качественное образование не только способствует личностному развитию, но и формирует активных и ответственных граждан, готовых к вызовам современного мира.</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2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Осипов</dc:creator>
  <dc:title/>
  <dc:description/>
  <dc:subject/>
  <cp:keywords/>
  <cp:category/>
  <cp:lastModifiedBy>Антон Осипов</cp:lastModifiedBy>
  <dcterms:created xsi:type="dcterms:W3CDTF">2024-09-05T17:52:00+00:00</dcterms:created>
  <dcterms:modified xsi:type="dcterms:W3CDTF">2024-09-05T19:29:00+00:00</dcterms:modified>
</cp:coreProperties>
</file>

<file path=docProps/custom.xml><?xml version="1.0" encoding="utf-8"?>
<Properties xmlns="http://schemas.openxmlformats.org/officeDocument/2006/custom-properties" xmlns:vt="http://schemas.openxmlformats.org/officeDocument/2006/docPropsVTypes"/>
</file>