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Таможенные процедуры в Евразийском экономическом союзе: виды и правовое регулирование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Таможенные процедуры играют важную роль в регулировании внешнеэкономической деятельности государств, входящих в Евразийский экономический союз (ЕАЭС). Вопрос о том, какие виды таможенных процедур существуют и как они регулируются правовыми нормами, является актуальным для понимания механизмов функционирования союза и обеспечения его экономической безопасности. Таможенные процедуры — это совокупность действий и формальностей, которые необходимо выполнить при перемещении товаров через таможенную границу, включая оформление документов, уплату пошлин и контроль соответствия товаров установленным требованиям. Они обеспечивают законность и прозрачность внешнеторговых операций, способствуют защите внутреннего рынка и соблюдению международных обязательств. Я считаю, что правовое регулирование таможенных процедур в ЕАЭС направлено на упрощение и гармонизацию правил, что способствует развитию интеграции и экономическому росту стран-участниц.</w:t>
      </w:r>
    </w:p>
    <w:p>
      <w:pPr>
        <w:pStyle w:val="paragraphStyleText"/>
      </w:pPr>
      <w:r>
        <w:rPr>
          <w:rStyle w:val="fontStyleText"/>
        </w:rPr>
        <w:t xml:space="preserve">Обратимся к законодательным актам ЕАЭС, которые определяют виды таможенных процедур и порядок их применения. Среди основных процедур выделяются выпуск для внутреннего потребления, таможенный транзит, временный ввоз и вывоз, переработка на таможенной территории и реэкспорт. Например, процедура выпуска для внутреннего потребления предполагает полное таможенное оформление товара с уплатой всех необходимых пошлин и налогов, что позволяет товару свободно перемещаться внутри союза. В свою очередь, таможенный транзит обеспечивает перемещение товаров через территорию ЕАЭС без уплаты пошлин, что облегчает логистику и снижает издержки для бизнеса.</w:t>
      </w:r>
    </w:p>
    <w:p>
      <w:pPr>
        <w:pStyle w:val="paragraphStyleText"/>
      </w:pPr>
      <w:r>
        <w:rPr>
          <w:rStyle w:val="fontStyleText"/>
        </w:rPr>
        <w:t xml:space="preserve">Анализируя данные процедуры, можно отметить, что их правовое регулирование направлено на создание единого таможенного пространства, где правила и требования унифицированы. Это способствует снижению бюрократических барьеров и ускорению товарооборота между странами союза. Таким образом, примеры из законодательства ЕАЭС подтверждают мою мысль о том, что эффективное правовое регулирование таможенных процедур является ключевым фактором успешной интеграции и экономического развития региона.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таможенные процедуры в Евразийском экономическом союзе представляют собой комплекс мер, обеспечивающих контроль и упорядочение внешнеэкономической деятельности. Их виды и правовое регулирование направлены на гармонизацию правил и упрощение процедур, что способствует укреплению экономических связей между странами-участницами. Я убежден, что дальнейшее совершенствование таможенного законодательства будет способствовать развитию ЕАЭС и повышению его конкурентоспособности на мировом рынке.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